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God Parts the Waters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Exodus 13-15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 May be Longer than A_____________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</w:t>
        <w:tab/>
        <w:t xml:space="preserve">   May seem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      B____________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</w:t>
        <w:tab/>
        <w:t xml:space="preserve">   Will be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      O____________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