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Agree with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1 Corinthians 1:10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   Philippians 4:2-3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